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4065"/>
        <w:gridCol w:w="5655"/>
      </w:tblGrid>
      <w:tr w:rsidR="002075F6" w:rsidRPr="002075F6" w:rsidTr="002075F6">
        <w:trPr>
          <w:tblCellSpacing w:w="0" w:type="dxa"/>
        </w:trPr>
        <w:tc>
          <w:tcPr>
            <w:tcW w:w="4065" w:type="dxa"/>
            <w:tcBorders>
              <w:top w:val="dashed" w:sz="6" w:space="0" w:color="BBBBBB"/>
              <w:left w:val="dashed" w:sz="6" w:space="0" w:color="BBBBBB"/>
              <w:bottom w:val="dashed" w:sz="6" w:space="0" w:color="BBBBBB"/>
              <w:right w:val="dashed" w:sz="6" w:space="0" w:color="BBBBBB"/>
            </w:tcBorders>
            <w:hideMark/>
          </w:tcPr>
          <w:p w:rsidR="002075F6" w:rsidRPr="002075F6" w:rsidRDefault="002075F6" w:rsidP="002075F6">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2075F6">
              <w:rPr>
                <w:rFonts w:ascii="Verdana" w:eastAsia="Times New Roman" w:hAnsi="Verdana" w:cs="Times New Roman"/>
                <w:color w:val="000000"/>
                <w:sz w:val="15"/>
                <w:szCs w:val="15"/>
              </w:rPr>
              <w:t>PHÒNG GD&amp;ĐT PHONG ĐIỀN</w:t>
            </w:r>
          </w:p>
          <w:p w:rsidR="002075F6" w:rsidRPr="002075F6" w:rsidRDefault="002075F6" w:rsidP="002075F6">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2075F6">
              <w:rPr>
                <w:rFonts w:ascii="Verdana" w:eastAsia="Times New Roman" w:hAnsi="Verdana" w:cs="Times New Roman"/>
                <w:b/>
                <w:bCs/>
                <w:color w:val="000000"/>
                <w:sz w:val="15"/>
                <w:szCs w:val="15"/>
              </w:rPr>
              <w:t>TRƯỜNG THCS ĐIỀN HẢI</w:t>
            </w:r>
          </w:p>
          <w:p w:rsidR="002075F6" w:rsidRPr="002075F6" w:rsidRDefault="002075F6" w:rsidP="002075F6">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2075F6">
              <w:rPr>
                <w:rFonts w:ascii="Verdana" w:eastAsia="Times New Roman" w:hAnsi="Verdana" w:cs="Times New Roman"/>
                <w:color w:val="000000"/>
                <w:sz w:val="15"/>
                <w:szCs w:val="15"/>
              </w:rPr>
              <w:t> </w:t>
            </w:r>
          </w:p>
        </w:tc>
        <w:tc>
          <w:tcPr>
            <w:tcW w:w="5655" w:type="dxa"/>
            <w:tcBorders>
              <w:top w:val="dashed" w:sz="6" w:space="0" w:color="BBBBBB"/>
              <w:left w:val="dashed" w:sz="6" w:space="0" w:color="BBBBBB"/>
              <w:bottom w:val="dashed" w:sz="6" w:space="0" w:color="BBBBBB"/>
              <w:right w:val="dashed" w:sz="6" w:space="0" w:color="BBBBBB"/>
            </w:tcBorders>
            <w:hideMark/>
          </w:tcPr>
          <w:p w:rsidR="002075F6" w:rsidRPr="002075F6" w:rsidRDefault="002075F6" w:rsidP="002075F6">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2075F6">
              <w:rPr>
                <w:rFonts w:ascii="Verdana" w:eastAsia="Times New Roman" w:hAnsi="Verdana" w:cs="Times New Roman"/>
                <w:b/>
                <w:bCs/>
                <w:color w:val="000000"/>
                <w:sz w:val="15"/>
                <w:szCs w:val="15"/>
              </w:rPr>
              <w:t>CỘNG HÒA XÃ HỘI CHỦ NGHĨA VIỆT NAM</w:t>
            </w:r>
          </w:p>
          <w:p w:rsidR="002075F6" w:rsidRPr="002075F6" w:rsidRDefault="002075F6" w:rsidP="002075F6">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2075F6">
              <w:rPr>
                <w:rFonts w:ascii="Verdana" w:eastAsia="Times New Roman" w:hAnsi="Verdana" w:cs="Times New Roman"/>
                <w:b/>
                <w:bCs/>
                <w:color w:val="000000"/>
                <w:sz w:val="15"/>
                <w:szCs w:val="15"/>
              </w:rPr>
              <w:t>Độc lập - Tự do - Hạnh phúc</w:t>
            </w:r>
          </w:p>
          <w:p w:rsidR="002075F6" w:rsidRPr="002075F6" w:rsidRDefault="002075F6" w:rsidP="002075F6">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2075F6">
              <w:rPr>
                <w:rFonts w:ascii="Verdana" w:eastAsia="Times New Roman" w:hAnsi="Verdana" w:cs="Times New Roman"/>
                <w:color w:val="000000"/>
                <w:sz w:val="15"/>
                <w:szCs w:val="15"/>
              </w:rPr>
              <w:t> </w:t>
            </w:r>
          </w:p>
        </w:tc>
      </w:tr>
      <w:tr w:rsidR="002075F6" w:rsidRPr="002075F6" w:rsidTr="002075F6">
        <w:trPr>
          <w:tblCellSpacing w:w="0" w:type="dxa"/>
        </w:trPr>
        <w:tc>
          <w:tcPr>
            <w:tcW w:w="4065" w:type="dxa"/>
            <w:tcBorders>
              <w:top w:val="dashed" w:sz="6" w:space="0" w:color="BBBBBB"/>
              <w:left w:val="dashed" w:sz="6" w:space="0" w:color="BBBBBB"/>
              <w:bottom w:val="dashed" w:sz="6" w:space="0" w:color="BBBBBB"/>
              <w:right w:val="dashed" w:sz="6" w:space="0" w:color="BBBBBB"/>
            </w:tcBorders>
            <w:hideMark/>
          </w:tcPr>
          <w:p w:rsidR="002075F6" w:rsidRPr="002075F6" w:rsidRDefault="002075F6" w:rsidP="002075F6">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2075F6">
              <w:rPr>
                <w:rFonts w:ascii="Verdana" w:eastAsia="Times New Roman" w:hAnsi="Verdana" w:cs="Times New Roman"/>
                <w:color w:val="000000"/>
                <w:sz w:val="15"/>
                <w:szCs w:val="15"/>
              </w:rPr>
              <w:t> </w:t>
            </w:r>
          </w:p>
        </w:tc>
        <w:tc>
          <w:tcPr>
            <w:tcW w:w="5655" w:type="dxa"/>
            <w:tcBorders>
              <w:top w:val="dashed" w:sz="6" w:space="0" w:color="BBBBBB"/>
              <w:left w:val="dashed" w:sz="6" w:space="0" w:color="BBBBBB"/>
              <w:bottom w:val="dashed" w:sz="6" w:space="0" w:color="BBBBBB"/>
              <w:right w:val="dashed" w:sz="6" w:space="0" w:color="BBBBBB"/>
            </w:tcBorders>
            <w:hideMark/>
          </w:tcPr>
          <w:p w:rsidR="002075F6" w:rsidRPr="002075F6" w:rsidRDefault="002075F6" w:rsidP="002075F6">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2075F6">
              <w:rPr>
                <w:rFonts w:ascii="Verdana" w:eastAsia="Times New Roman" w:hAnsi="Verdana" w:cs="Times New Roman"/>
                <w:color w:val="000000"/>
                <w:sz w:val="15"/>
                <w:szCs w:val="15"/>
              </w:rPr>
              <w:t>Điền Hải, ngày 15 tháng 3 năm 2019</w:t>
            </w:r>
          </w:p>
        </w:tc>
      </w:tr>
    </w:tbl>
    <w:p w:rsidR="002075F6" w:rsidRPr="002075F6" w:rsidRDefault="002075F6" w:rsidP="002075F6">
      <w:pPr>
        <w:spacing w:before="100" w:beforeAutospacing="1" w:after="100" w:afterAutospacing="1" w:line="240" w:lineRule="auto"/>
        <w:jc w:val="center"/>
        <w:rPr>
          <w:rFonts w:ascii="Verdana" w:eastAsia="Times New Roman" w:hAnsi="Verdana" w:cs="Times New Roman"/>
          <w:color w:val="000000"/>
          <w:sz w:val="15"/>
          <w:szCs w:val="15"/>
        </w:rPr>
      </w:pPr>
      <w:r w:rsidRPr="002075F6">
        <w:rPr>
          <w:rFonts w:ascii="Verdana" w:eastAsia="Times New Roman" w:hAnsi="Verdana" w:cs="Times New Roman"/>
          <w:b/>
          <w:bCs/>
          <w:color w:val="000000"/>
          <w:sz w:val="15"/>
          <w:szCs w:val="15"/>
        </w:rPr>
        <w:t>BÀI VIẾT BDTX NĂM HỌC 2018 - 2019</w:t>
      </w:r>
    </w:p>
    <w:tbl>
      <w:tblPr>
        <w:tblpPr w:leftFromText="45" w:rightFromText="45" w:vertAnchor="text"/>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3450"/>
        <w:gridCol w:w="323"/>
      </w:tblGrid>
      <w:tr w:rsidR="002075F6" w:rsidRPr="002075F6" w:rsidTr="002075F6">
        <w:trPr>
          <w:gridAfter w:val="1"/>
          <w:trHeight w:val="30"/>
          <w:tblCellSpacing w:w="0" w:type="dxa"/>
        </w:trPr>
        <w:tc>
          <w:tcPr>
            <w:tcW w:w="3450" w:type="dxa"/>
            <w:tcBorders>
              <w:top w:val="dashed" w:sz="6" w:space="0" w:color="BBBBBB"/>
              <w:left w:val="dashed" w:sz="6" w:space="0" w:color="BBBBBB"/>
              <w:bottom w:val="dashed" w:sz="6" w:space="0" w:color="BBBBBB"/>
              <w:right w:val="dashed" w:sz="6" w:space="0" w:color="BBBBBB"/>
            </w:tcBorders>
            <w:vAlign w:val="center"/>
            <w:hideMark/>
          </w:tcPr>
          <w:p w:rsidR="002075F6" w:rsidRPr="002075F6" w:rsidRDefault="002075F6" w:rsidP="002075F6">
            <w:pPr>
              <w:spacing w:before="120" w:after="120" w:line="30" w:lineRule="atLeast"/>
              <w:ind w:left="120" w:right="120"/>
              <w:rPr>
                <w:rFonts w:ascii="Verdana" w:eastAsia="Times New Roman" w:hAnsi="Verdana" w:cs="Times New Roman"/>
                <w:color w:val="000000"/>
                <w:sz w:val="15"/>
                <w:szCs w:val="15"/>
              </w:rPr>
            </w:pPr>
            <w:r w:rsidRPr="002075F6">
              <w:rPr>
                <w:rFonts w:ascii="Verdana" w:eastAsia="Times New Roman" w:hAnsi="Verdana" w:cs="Times New Roman"/>
                <w:color w:val="000000"/>
                <w:sz w:val="15"/>
                <w:szCs w:val="15"/>
              </w:rPr>
              <w:t> </w:t>
            </w:r>
          </w:p>
        </w:tc>
      </w:tr>
      <w:tr w:rsidR="002075F6" w:rsidRPr="002075F6" w:rsidTr="002075F6">
        <w:trPr>
          <w:tblCellSpacing w:w="0"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2075F6" w:rsidRPr="002075F6" w:rsidRDefault="002075F6" w:rsidP="002075F6">
            <w:pPr>
              <w:spacing w:before="120" w:after="120" w:line="240" w:lineRule="auto"/>
              <w:ind w:left="120" w:right="120"/>
              <w:rPr>
                <w:rFonts w:ascii="Verdana" w:eastAsia="Times New Roman" w:hAnsi="Verdana" w:cs="Times New Roman"/>
                <w:color w:val="000000"/>
                <w:sz w:val="15"/>
                <w:szCs w:val="15"/>
              </w:rPr>
            </w:pPr>
            <w:r w:rsidRPr="002075F6">
              <w:rPr>
                <w:rFonts w:ascii="Verdana" w:eastAsia="Times New Roman" w:hAnsi="Verdana" w:cs="Times New Roman"/>
                <w:color w:val="000000"/>
                <w:sz w:val="15"/>
                <w:szCs w:val="15"/>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2075F6" w:rsidRPr="002075F6" w:rsidRDefault="002075F6" w:rsidP="002075F6">
            <w:pPr>
              <w:spacing w:before="120" w:after="120" w:line="240" w:lineRule="auto"/>
              <w:ind w:left="120" w:right="120"/>
              <w:rPr>
                <w:rFonts w:ascii="Verdana" w:eastAsia="Times New Roman" w:hAnsi="Verdana" w:cs="Times New Roman"/>
                <w:color w:val="000000"/>
                <w:sz w:val="15"/>
                <w:szCs w:val="15"/>
              </w:rPr>
            </w:pPr>
            <w:r w:rsidRPr="002075F6">
              <w:rPr>
                <w:rFonts w:ascii="Verdana" w:eastAsia="Times New Roman" w:hAnsi="Verdana" w:cs="Times New Roman"/>
                <w:color w:val="000000"/>
                <w:sz w:val="15"/>
                <w:szCs w:val="15"/>
              </w:rPr>
              <w:t> </w:t>
            </w:r>
          </w:p>
        </w:tc>
      </w:tr>
    </w:tbl>
    <w:p w:rsidR="002075F6" w:rsidRPr="002075F6" w:rsidRDefault="002075F6" w:rsidP="002075F6">
      <w:pPr>
        <w:spacing w:before="100" w:beforeAutospacing="1" w:after="100" w:afterAutospacing="1" w:line="240" w:lineRule="auto"/>
        <w:rPr>
          <w:rFonts w:ascii="Verdana" w:eastAsia="Times New Roman" w:hAnsi="Verdana" w:cs="Times New Roman"/>
          <w:color w:val="000000"/>
          <w:sz w:val="15"/>
          <w:szCs w:val="15"/>
        </w:rPr>
      </w:pPr>
      <w:r w:rsidRPr="002075F6">
        <w:rPr>
          <w:rFonts w:ascii="Verdana" w:eastAsia="Times New Roman" w:hAnsi="Verdana" w:cs="Times New Roman"/>
          <w:color w:val="000000"/>
          <w:sz w:val="15"/>
          <w:szCs w:val="15"/>
        </w:rPr>
        <w:t>Căn cứ Kế hoạch số 2188/KH-SGDĐT-GDCN&amp;TX ngày 13/9/2018 của Sở GD&amp;ĐT về việc Bồi dưỡng thường xuyên cán bộ quản lý, giáo viên tại các cơ sở giáo dục mầm non, phổ thông và giáo dục nghề nghiệp – giáo dục thường xuyên năm học 2018-2019; Kế hoạch số 41/KH-PGDĐT ngày 17/9/2018 của Phòng GD&amp;ĐT về việc Kế hoạch BDTX cán bộ quản lý, giáo viên MN, TH và THCS năm học 2018-2019,</w:t>
      </w:r>
    </w:p>
    <w:p w:rsidR="002075F6" w:rsidRPr="002075F6" w:rsidRDefault="002075F6" w:rsidP="002075F6">
      <w:pPr>
        <w:spacing w:before="100" w:beforeAutospacing="1" w:after="100" w:afterAutospacing="1" w:line="240" w:lineRule="auto"/>
        <w:rPr>
          <w:rFonts w:ascii="Verdana" w:eastAsia="Times New Roman" w:hAnsi="Verdana" w:cs="Times New Roman"/>
          <w:color w:val="000000"/>
          <w:sz w:val="15"/>
          <w:szCs w:val="15"/>
        </w:rPr>
      </w:pPr>
      <w:r w:rsidRPr="002075F6">
        <w:rPr>
          <w:rFonts w:ascii="Verdana" w:eastAsia="Times New Roman" w:hAnsi="Verdana" w:cs="Times New Roman"/>
          <w:color w:val="000000"/>
          <w:sz w:val="15"/>
          <w:szCs w:val="15"/>
        </w:rPr>
        <w:t>            Cá nhân tham gia BDTX năm học 2018-2019 như sau:</w:t>
      </w:r>
    </w:p>
    <w:p w:rsidR="002075F6" w:rsidRPr="002075F6" w:rsidRDefault="002075F6" w:rsidP="002075F6">
      <w:pPr>
        <w:spacing w:before="100" w:beforeAutospacing="1" w:after="100" w:afterAutospacing="1" w:line="240" w:lineRule="auto"/>
        <w:rPr>
          <w:rFonts w:ascii="Verdana" w:eastAsia="Times New Roman" w:hAnsi="Verdana" w:cs="Times New Roman"/>
          <w:color w:val="000000"/>
          <w:sz w:val="15"/>
          <w:szCs w:val="15"/>
        </w:rPr>
      </w:pPr>
      <w:r w:rsidRPr="002075F6">
        <w:rPr>
          <w:rFonts w:ascii="Verdana" w:eastAsia="Times New Roman" w:hAnsi="Verdana" w:cs="Times New Roman"/>
          <w:b/>
          <w:bCs/>
          <w:color w:val="000000"/>
          <w:sz w:val="15"/>
          <w:szCs w:val="15"/>
        </w:rPr>
        <w:t>3. Nội dung bồi dưỡng 3: (60 tiết)</w:t>
      </w:r>
    </w:p>
    <w:p w:rsidR="002075F6" w:rsidRPr="002075F6" w:rsidRDefault="002075F6" w:rsidP="002075F6">
      <w:pPr>
        <w:spacing w:before="100" w:beforeAutospacing="1" w:after="100" w:afterAutospacing="1" w:line="240" w:lineRule="auto"/>
        <w:rPr>
          <w:rFonts w:ascii="Verdana" w:eastAsia="Times New Roman" w:hAnsi="Verdana" w:cs="Times New Roman"/>
          <w:color w:val="000000"/>
          <w:sz w:val="15"/>
          <w:szCs w:val="15"/>
        </w:rPr>
      </w:pPr>
      <w:r w:rsidRPr="002075F6">
        <w:rPr>
          <w:rFonts w:ascii="Verdana" w:eastAsia="Times New Roman" w:hAnsi="Verdana" w:cs="Times New Roman"/>
          <w:b/>
          <w:bCs/>
          <w:color w:val="000000"/>
          <w:sz w:val="15"/>
          <w:szCs w:val="15"/>
        </w:rPr>
        <w:t>3.1. Các nội dung bồi dưỡng modul THCS của giáo viên</w:t>
      </w:r>
    </w:p>
    <w:p w:rsidR="002075F6" w:rsidRPr="002075F6" w:rsidRDefault="002075F6" w:rsidP="002075F6">
      <w:pPr>
        <w:spacing w:before="100" w:beforeAutospacing="1" w:after="100" w:afterAutospacing="1" w:line="240" w:lineRule="auto"/>
        <w:rPr>
          <w:rFonts w:ascii="Verdana" w:eastAsia="Times New Roman" w:hAnsi="Verdana" w:cs="Times New Roman"/>
          <w:color w:val="000000"/>
          <w:sz w:val="15"/>
          <w:szCs w:val="15"/>
        </w:rPr>
      </w:pPr>
      <w:r w:rsidRPr="002075F6">
        <w:rPr>
          <w:rFonts w:ascii="Verdana" w:eastAsia="Times New Roman" w:hAnsi="Verdana" w:cs="Times New Roman"/>
          <w:color w:val="000000"/>
          <w:sz w:val="15"/>
          <w:szCs w:val="15"/>
        </w:rPr>
        <w:t>- Thời lượng: 60 tiết.</w:t>
      </w:r>
    </w:p>
    <w:p w:rsidR="002075F6" w:rsidRPr="002075F6" w:rsidRDefault="002075F6" w:rsidP="002075F6">
      <w:pPr>
        <w:spacing w:before="100" w:beforeAutospacing="1" w:after="100" w:afterAutospacing="1" w:line="240" w:lineRule="auto"/>
        <w:rPr>
          <w:rFonts w:ascii="Verdana" w:eastAsia="Times New Roman" w:hAnsi="Verdana" w:cs="Times New Roman"/>
          <w:color w:val="000000"/>
          <w:sz w:val="15"/>
          <w:szCs w:val="15"/>
        </w:rPr>
      </w:pPr>
      <w:r w:rsidRPr="002075F6">
        <w:rPr>
          <w:rFonts w:ascii="Verdana" w:eastAsia="Times New Roman" w:hAnsi="Verdana" w:cs="Times New Roman"/>
          <w:color w:val="000000"/>
          <w:sz w:val="15"/>
          <w:szCs w:val="15"/>
        </w:rPr>
        <w:t>            - Thời gian học tập: Từ 01/01/2019 đến 10/4/2019.</w:t>
      </w:r>
    </w:p>
    <w:p w:rsidR="002075F6" w:rsidRPr="002075F6" w:rsidRDefault="002075F6" w:rsidP="002075F6">
      <w:pPr>
        <w:spacing w:before="100" w:beforeAutospacing="1" w:after="100" w:afterAutospacing="1" w:line="240" w:lineRule="auto"/>
        <w:rPr>
          <w:rFonts w:ascii="Verdana" w:eastAsia="Times New Roman" w:hAnsi="Verdana" w:cs="Times New Roman"/>
          <w:color w:val="000000"/>
          <w:sz w:val="15"/>
          <w:szCs w:val="15"/>
        </w:rPr>
      </w:pPr>
      <w:r w:rsidRPr="002075F6">
        <w:rPr>
          <w:rFonts w:ascii="Verdana" w:eastAsia="Times New Roman" w:hAnsi="Verdana" w:cs="Times New Roman"/>
          <w:color w:val="000000"/>
          <w:sz w:val="15"/>
          <w:szCs w:val="15"/>
        </w:rPr>
        <w:t>- Thời gian tổ chức báo cáo kết quả: Trước ngày 15/4/2019.</w:t>
      </w:r>
    </w:p>
    <w:p w:rsidR="002075F6" w:rsidRPr="002075F6" w:rsidRDefault="002075F6" w:rsidP="002075F6">
      <w:pPr>
        <w:spacing w:before="100" w:beforeAutospacing="1" w:after="100" w:afterAutospacing="1" w:line="240" w:lineRule="auto"/>
        <w:rPr>
          <w:rFonts w:ascii="Verdana" w:eastAsia="Times New Roman" w:hAnsi="Verdana" w:cs="Times New Roman"/>
          <w:color w:val="000000"/>
          <w:sz w:val="15"/>
          <w:szCs w:val="15"/>
        </w:rPr>
      </w:pPr>
      <w:r w:rsidRPr="002075F6">
        <w:rPr>
          <w:rFonts w:ascii="Verdana" w:eastAsia="Times New Roman" w:hAnsi="Verdana" w:cs="Times New Roman"/>
          <w:color w:val="000000"/>
          <w:sz w:val="15"/>
          <w:szCs w:val="15"/>
        </w:rPr>
        <w:t>- Các nội dung:</w:t>
      </w:r>
    </w:p>
    <w:p w:rsidR="002075F6" w:rsidRPr="002075F6" w:rsidRDefault="002075F6" w:rsidP="002075F6">
      <w:pPr>
        <w:spacing w:before="100" w:beforeAutospacing="1" w:after="100" w:afterAutospacing="1" w:line="240" w:lineRule="auto"/>
        <w:rPr>
          <w:rFonts w:ascii="Verdana" w:eastAsia="Times New Roman" w:hAnsi="Verdana" w:cs="Times New Roman"/>
          <w:color w:val="000000"/>
          <w:sz w:val="15"/>
          <w:szCs w:val="15"/>
        </w:rPr>
      </w:pPr>
      <w:r w:rsidRPr="002075F6">
        <w:rPr>
          <w:rFonts w:ascii="Verdana" w:eastAsia="Times New Roman" w:hAnsi="Verdana" w:cs="Times New Roman"/>
          <w:b/>
          <w:bCs/>
          <w:color w:val="000000"/>
          <w:sz w:val="15"/>
          <w:szCs w:val="15"/>
        </w:rPr>
        <w:t>THCS 40</w:t>
      </w:r>
      <w:r w:rsidRPr="002075F6">
        <w:rPr>
          <w:rFonts w:ascii="Verdana" w:eastAsia="Times New Roman" w:hAnsi="Verdana" w:cs="Times New Roman"/>
          <w:color w:val="000000"/>
          <w:sz w:val="15"/>
          <w:szCs w:val="15"/>
        </w:rPr>
        <w:t>: Phối hợp các tổ chức xã hội trong công tác giáo dục ở trường Trung học cơ sở.</w:t>
      </w:r>
    </w:p>
    <w:p w:rsidR="002075F6" w:rsidRPr="002075F6" w:rsidRDefault="002075F6" w:rsidP="002075F6">
      <w:pPr>
        <w:spacing w:before="100" w:beforeAutospacing="1" w:after="100" w:afterAutospacing="1" w:line="240" w:lineRule="auto"/>
        <w:rPr>
          <w:rFonts w:ascii="Verdana" w:eastAsia="Times New Roman" w:hAnsi="Verdana" w:cs="Times New Roman"/>
          <w:color w:val="000000"/>
          <w:sz w:val="15"/>
          <w:szCs w:val="15"/>
        </w:rPr>
      </w:pPr>
      <w:r w:rsidRPr="002075F6">
        <w:rPr>
          <w:rFonts w:ascii="Verdana" w:eastAsia="Times New Roman" w:hAnsi="Verdana" w:cs="Times New Roman"/>
          <w:color w:val="000000"/>
          <w:sz w:val="15"/>
          <w:szCs w:val="15"/>
        </w:rPr>
        <w:t>- Thời gian tổ chức báo cáo kết quả: 17/3/2019</w:t>
      </w:r>
    </w:p>
    <w:p w:rsidR="002075F6" w:rsidRPr="002075F6" w:rsidRDefault="002075F6" w:rsidP="002075F6">
      <w:pPr>
        <w:spacing w:before="100" w:beforeAutospacing="1" w:after="100" w:afterAutospacing="1" w:line="240" w:lineRule="auto"/>
        <w:rPr>
          <w:rFonts w:ascii="Verdana" w:eastAsia="Times New Roman" w:hAnsi="Verdana" w:cs="Times New Roman"/>
          <w:color w:val="000000"/>
          <w:sz w:val="15"/>
          <w:szCs w:val="15"/>
        </w:rPr>
      </w:pPr>
      <w:r w:rsidRPr="002075F6">
        <w:rPr>
          <w:rFonts w:ascii="Verdana" w:eastAsia="Times New Roman" w:hAnsi="Verdana" w:cs="Times New Roman"/>
          <w:b/>
          <w:bCs/>
          <w:color w:val="000000"/>
          <w:sz w:val="15"/>
          <w:szCs w:val="15"/>
        </w:rPr>
        <w:t>A.THÔNG TIN CÁ NHÂN</w:t>
      </w:r>
    </w:p>
    <w:p w:rsidR="002075F6" w:rsidRPr="002075F6" w:rsidRDefault="002075F6" w:rsidP="002075F6">
      <w:pPr>
        <w:spacing w:before="100" w:beforeAutospacing="1" w:after="100" w:afterAutospacing="1" w:line="240" w:lineRule="auto"/>
        <w:rPr>
          <w:rFonts w:ascii="Verdana" w:eastAsia="Times New Roman" w:hAnsi="Verdana" w:cs="Times New Roman"/>
          <w:color w:val="000000"/>
          <w:sz w:val="15"/>
          <w:szCs w:val="15"/>
        </w:rPr>
      </w:pPr>
      <w:r w:rsidRPr="002075F6">
        <w:rPr>
          <w:rFonts w:ascii="Verdana" w:eastAsia="Times New Roman" w:hAnsi="Verdana" w:cs="Times New Roman"/>
          <w:color w:val="000000"/>
          <w:sz w:val="15"/>
          <w:szCs w:val="15"/>
        </w:rPr>
        <w:t>     1. Họ và tên:  Hoang Đức Nguyên.                   Giới tính: Nam.</w:t>
      </w:r>
    </w:p>
    <w:p w:rsidR="002075F6" w:rsidRPr="002075F6" w:rsidRDefault="002075F6" w:rsidP="002075F6">
      <w:pPr>
        <w:spacing w:before="100" w:beforeAutospacing="1" w:after="100" w:afterAutospacing="1" w:line="240" w:lineRule="auto"/>
        <w:rPr>
          <w:rFonts w:ascii="Verdana" w:eastAsia="Times New Roman" w:hAnsi="Verdana" w:cs="Times New Roman"/>
          <w:color w:val="000000"/>
          <w:sz w:val="15"/>
          <w:szCs w:val="15"/>
        </w:rPr>
      </w:pPr>
      <w:r w:rsidRPr="002075F6">
        <w:rPr>
          <w:rFonts w:ascii="Verdana" w:eastAsia="Times New Roman" w:hAnsi="Verdana" w:cs="Times New Roman"/>
          <w:color w:val="000000"/>
          <w:sz w:val="15"/>
          <w:szCs w:val="15"/>
        </w:rPr>
        <w:t>     2. Ngày, tháng, năm sinh:  30/12/1960              Năm vào ngành giáo dục: 1985.</w:t>
      </w:r>
    </w:p>
    <w:p w:rsidR="002075F6" w:rsidRPr="002075F6" w:rsidRDefault="002075F6" w:rsidP="002075F6">
      <w:pPr>
        <w:spacing w:before="100" w:beforeAutospacing="1" w:after="100" w:afterAutospacing="1" w:line="240" w:lineRule="auto"/>
        <w:rPr>
          <w:rFonts w:ascii="Verdana" w:eastAsia="Times New Roman" w:hAnsi="Verdana" w:cs="Times New Roman"/>
          <w:color w:val="000000"/>
          <w:sz w:val="15"/>
          <w:szCs w:val="15"/>
        </w:rPr>
      </w:pPr>
      <w:r w:rsidRPr="002075F6">
        <w:rPr>
          <w:rFonts w:ascii="Verdana" w:eastAsia="Times New Roman" w:hAnsi="Verdana" w:cs="Times New Roman"/>
          <w:color w:val="000000"/>
          <w:sz w:val="15"/>
          <w:szCs w:val="15"/>
        </w:rPr>
        <w:t>     3. Trình độ chuyên môn: ĐHSP Toán</w:t>
      </w:r>
    </w:p>
    <w:p w:rsidR="002075F6" w:rsidRPr="002075F6" w:rsidRDefault="002075F6" w:rsidP="002075F6">
      <w:pPr>
        <w:spacing w:before="100" w:beforeAutospacing="1" w:after="100" w:afterAutospacing="1" w:line="240" w:lineRule="auto"/>
        <w:rPr>
          <w:rFonts w:ascii="Verdana" w:eastAsia="Times New Roman" w:hAnsi="Verdana" w:cs="Times New Roman"/>
          <w:color w:val="000000"/>
          <w:sz w:val="15"/>
          <w:szCs w:val="15"/>
        </w:rPr>
      </w:pPr>
      <w:r w:rsidRPr="002075F6">
        <w:rPr>
          <w:rFonts w:ascii="Verdana" w:eastAsia="Times New Roman" w:hAnsi="Verdana" w:cs="Times New Roman"/>
          <w:color w:val="000000"/>
          <w:sz w:val="15"/>
          <w:szCs w:val="15"/>
        </w:rPr>
        <w:t>     4. Tổ chuyên môn: Toán.    Môn dạy: Toán</w:t>
      </w:r>
    </w:p>
    <w:p w:rsidR="002075F6" w:rsidRPr="002075F6" w:rsidRDefault="002075F6" w:rsidP="002075F6">
      <w:pPr>
        <w:spacing w:before="100" w:beforeAutospacing="1" w:after="100" w:afterAutospacing="1" w:line="240" w:lineRule="auto"/>
        <w:rPr>
          <w:rFonts w:ascii="Verdana" w:eastAsia="Times New Roman" w:hAnsi="Verdana" w:cs="Times New Roman"/>
          <w:color w:val="000000"/>
          <w:sz w:val="15"/>
          <w:szCs w:val="15"/>
        </w:rPr>
      </w:pPr>
      <w:r w:rsidRPr="002075F6">
        <w:rPr>
          <w:rFonts w:ascii="Verdana" w:eastAsia="Times New Roman" w:hAnsi="Verdana" w:cs="Times New Roman"/>
          <w:color w:val="000000"/>
          <w:sz w:val="15"/>
          <w:szCs w:val="15"/>
        </w:rPr>
        <w:t>     5. Trình độ ngoại ngữ: B Anh văn. A Tin học</w:t>
      </w:r>
    </w:p>
    <w:p w:rsidR="002075F6" w:rsidRPr="002075F6" w:rsidRDefault="002075F6" w:rsidP="002075F6">
      <w:pPr>
        <w:spacing w:before="100" w:beforeAutospacing="1" w:after="100" w:afterAutospacing="1" w:line="240" w:lineRule="auto"/>
        <w:rPr>
          <w:rFonts w:ascii="Verdana" w:eastAsia="Times New Roman" w:hAnsi="Verdana" w:cs="Times New Roman"/>
          <w:color w:val="000000"/>
          <w:sz w:val="15"/>
          <w:szCs w:val="15"/>
        </w:rPr>
      </w:pPr>
      <w:r w:rsidRPr="002075F6">
        <w:rPr>
          <w:rFonts w:ascii="Verdana" w:eastAsia="Times New Roman" w:hAnsi="Verdana" w:cs="Times New Roman"/>
          <w:color w:val="000000"/>
          <w:sz w:val="15"/>
          <w:szCs w:val="15"/>
        </w:rPr>
        <w:t>     6. Chức vụ: Tổ trưởng.</w:t>
      </w:r>
    </w:p>
    <w:p w:rsidR="002075F6" w:rsidRPr="002075F6" w:rsidRDefault="002075F6" w:rsidP="002075F6">
      <w:pPr>
        <w:spacing w:before="100" w:beforeAutospacing="1" w:after="100" w:afterAutospacing="1" w:line="240" w:lineRule="auto"/>
        <w:rPr>
          <w:rFonts w:ascii="Verdana" w:eastAsia="Times New Roman" w:hAnsi="Verdana" w:cs="Times New Roman"/>
          <w:color w:val="000000"/>
          <w:sz w:val="15"/>
          <w:szCs w:val="15"/>
        </w:rPr>
      </w:pPr>
      <w:r w:rsidRPr="002075F6">
        <w:rPr>
          <w:rFonts w:ascii="Verdana" w:eastAsia="Times New Roman" w:hAnsi="Verdana" w:cs="Times New Roman"/>
          <w:b/>
          <w:bCs/>
          <w:color w:val="000000"/>
          <w:sz w:val="15"/>
          <w:szCs w:val="15"/>
        </w:rPr>
        <w:t>B.THCS 40</w:t>
      </w:r>
      <w:r w:rsidRPr="002075F6">
        <w:rPr>
          <w:rFonts w:ascii="Verdana" w:eastAsia="Times New Roman" w:hAnsi="Verdana" w:cs="Times New Roman"/>
          <w:color w:val="000000"/>
          <w:sz w:val="15"/>
          <w:szCs w:val="15"/>
        </w:rPr>
        <w:t>: Phối hợp các tổ chức xã hội trong công tác giáo dục ở trường Trung học cơ sở.</w:t>
      </w:r>
    </w:p>
    <w:p w:rsidR="002075F6" w:rsidRPr="002075F6" w:rsidRDefault="002075F6" w:rsidP="002075F6">
      <w:pPr>
        <w:spacing w:before="100" w:beforeAutospacing="1" w:after="100" w:afterAutospacing="1" w:line="240" w:lineRule="auto"/>
        <w:rPr>
          <w:rFonts w:ascii="Verdana" w:eastAsia="Times New Roman" w:hAnsi="Verdana" w:cs="Times New Roman"/>
          <w:color w:val="000000"/>
          <w:sz w:val="15"/>
          <w:szCs w:val="15"/>
        </w:rPr>
      </w:pPr>
      <w:r w:rsidRPr="002075F6">
        <w:rPr>
          <w:rFonts w:ascii="Verdana" w:eastAsia="Times New Roman" w:hAnsi="Verdana" w:cs="Times New Roman"/>
          <w:b/>
          <w:bCs/>
          <w:color w:val="000000"/>
          <w:sz w:val="15"/>
          <w:szCs w:val="15"/>
        </w:rPr>
        <w:t>Nội dung 1: Vai trò, ý nghĩa và mục tiêu của sự </w:t>
      </w:r>
      <w:r w:rsidRPr="002075F6">
        <w:rPr>
          <w:rFonts w:ascii="Verdana" w:eastAsia="Times New Roman" w:hAnsi="Verdana" w:cs="Times New Roman"/>
          <w:color w:val="000000"/>
          <w:sz w:val="15"/>
          <w:szCs w:val="15"/>
        </w:rPr>
        <w:t>phối hợp các tổ chức xã hội trong công tác giáo dục ở trường Trung học cơ sở</w:t>
      </w:r>
    </w:p>
    <w:p w:rsidR="002075F6" w:rsidRPr="002075F6" w:rsidRDefault="002075F6" w:rsidP="002075F6">
      <w:pPr>
        <w:spacing w:before="100" w:beforeAutospacing="1" w:after="100" w:afterAutospacing="1" w:line="240" w:lineRule="auto"/>
        <w:rPr>
          <w:rFonts w:ascii="Verdana" w:eastAsia="Times New Roman" w:hAnsi="Verdana" w:cs="Times New Roman"/>
          <w:color w:val="000000"/>
          <w:sz w:val="15"/>
          <w:szCs w:val="15"/>
        </w:rPr>
      </w:pPr>
      <w:r w:rsidRPr="002075F6">
        <w:rPr>
          <w:rFonts w:ascii="Verdana" w:eastAsia="Times New Roman" w:hAnsi="Verdana" w:cs="Times New Roman"/>
          <w:color w:val="000000"/>
          <w:sz w:val="15"/>
          <w:szCs w:val="15"/>
        </w:rPr>
        <w:t>1.Đối với người giáo viên THCS</w:t>
      </w:r>
    </w:p>
    <w:p w:rsidR="002075F6" w:rsidRPr="002075F6" w:rsidRDefault="002075F6" w:rsidP="002075F6">
      <w:pPr>
        <w:spacing w:before="100" w:beforeAutospacing="1" w:after="100" w:afterAutospacing="1" w:line="240" w:lineRule="auto"/>
        <w:rPr>
          <w:rFonts w:ascii="Verdana" w:eastAsia="Times New Roman" w:hAnsi="Verdana" w:cs="Times New Roman"/>
          <w:color w:val="000000"/>
          <w:sz w:val="15"/>
          <w:szCs w:val="15"/>
        </w:rPr>
      </w:pPr>
      <w:proofErr w:type="gramStart"/>
      <w:r w:rsidRPr="002075F6">
        <w:rPr>
          <w:rFonts w:ascii="Verdana" w:eastAsia="Times New Roman" w:hAnsi="Verdana" w:cs="Times New Roman"/>
          <w:color w:val="000000"/>
          <w:sz w:val="15"/>
          <w:szCs w:val="15"/>
        </w:rPr>
        <w:t>Sự phối hợp giữa nhà trường với các tổ chức xã hội trong công tác giáo dục sẽ giúp cho giáo viên có điểm tựa vững chắc, sự phối hợp tốt là thể hiện tinh thần hợp tác tốt.</w:t>
      </w:r>
      <w:proofErr w:type="gramEnd"/>
      <w:r w:rsidRPr="002075F6">
        <w:rPr>
          <w:rFonts w:ascii="Verdana" w:eastAsia="Times New Roman" w:hAnsi="Verdana" w:cs="Times New Roman"/>
          <w:color w:val="000000"/>
          <w:sz w:val="15"/>
          <w:szCs w:val="15"/>
        </w:rPr>
        <w:t xml:space="preserve"> </w:t>
      </w:r>
      <w:proofErr w:type="gramStart"/>
      <w:r w:rsidRPr="002075F6">
        <w:rPr>
          <w:rFonts w:ascii="Verdana" w:eastAsia="Times New Roman" w:hAnsi="Verdana" w:cs="Times New Roman"/>
          <w:color w:val="000000"/>
          <w:sz w:val="15"/>
          <w:szCs w:val="15"/>
        </w:rPr>
        <w:t xml:space="preserve">Trong xã hội hiện đại ngày nay, sự phối hợp cùng nhau có ý nghĩa to lớn </w:t>
      </w:r>
      <w:r w:rsidRPr="002075F6">
        <w:rPr>
          <w:rFonts w:ascii="Verdana" w:eastAsia="Times New Roman" w:hAnsi="Verdana" w:cs="Times New Roman"/>
          <w:color w:val="000000"/>
          <w:sz w:val="15"/>
          <w:szCs w:val="15"/>
        </w:rPr>
        <w:lastRenderedPageBreak/>
        <w:t>trong quá trình phát triển bền vững.</w:t>
      </w:r>
      <w:proofErr w:type="gramEnd"/>
      <w:r w:rsidRPr="002075F6">
        <w:rPr>
          <w:rFonts w:ascii="Verdana" w:eastAsia="Times New Roman" w:hAnsi="Verdana" w:cs="Times New Roman"/>
          <w:color w:val="000000"/>
          <w:sz w:val="15"/>
          <w:szCs w:val="15"/>
        </w:rPr>
        <w:t xml:space="preserve"> Nếu biết hợp tác tốt và có ý thức trách nhiệm trong hợp tác thì sự hợp tác đó sẽ </w:t>
      </w:r>
      <w:proofErr w:type="gramStart"/>
      <w:r w:rsidRPr="002075F6">
        <w:rPr>
          <w:rFonts w:ascii="Verdana" w:eastAsia="Times New Roman" w:hAnsi="Verdana" w:cs="Times New Roman"/>
          <w:color w:val="000000"/>
          <w:sz w:val="15"/>
          <w:szCs w:val="15"/>
        </w:rPr>
        <w:t>đơm</w:t>
      </w:r>
      <w:proofErr w:type="gramEnd"/>
      <w:r w:rsidRPr="002075F6">
        <w:rPr>
          <w:rFonts w:ascii="Verdana" w:eastAsia="Times New Roman" w:hAnsi="Verdana" w:cs="Times New Roman"/>
          <w:color w:val="000000"/>
          <w:sz w:val="15"/>
          <w:szCs w:val="15"/>
        </w:rPr>
        <w:t xml:space="preserve"> hoa kết trái. </w:t>
      </w:r>
      <w:proofErr w:type="gramStart"/>
      <w:r w:rsidRPr="002075F6">
        <w:rPr>
          <w:rFonts w:ascii="Verdana" w:eastAsia="Times New Roman" w:hAnsi="Verdana" w:cs="Times New Roman"/>
          <w:color w:val="000000"/>
          <w:sz w:val="15"/>
          <w:szCs w:val="15"/>
        </w:rPr>
        <w:t>Sẽ tạo cho giáo viên tự tin hơn, chủ động hơn, từ đó biết đặt ra kế hoạch phối hợp cụ thể.</w:t>
      </w:r>
      <w:proofErr w:type="gramEnd"/>
      <w:r w:rsidRPr="002075F6">
        <w:rPr>
          <w:rFonts w:ascii="Verdana" w:eastAsia="Times New Roman" w:hAnsi="Verdana" w:cs="Times New Roman"/>
          <w:color w:val="000000"/>
          <w:sz w:val="15"/>
          <w:szCs w:val="15"/>
        </w:rPr>
        <w:t xml:space="preserve"> </w:t>
      </w:r>
      <w:proofErr w:type="gramStart"/>
      <w:r w:rsidRPr="002075F6">
        <w:rPr>
          <w:rFonts w:ascii="Verdana" w:eastAsia="Times New Roman" w:hAnsi="Verdana" w:cs="Times New Roman"/>
          <w:color w:val="000000"/>
          <w:sz w:val="15"/>
          <w:szCs w:val="15"/>
        </w:rPr>
        <w:t>Biết phối hợp tốt tức là thể hiện sự giao lưu tốt giữa người giáo viên với các tổ chức xã hội.</w:t>
      </w:r>
      <w:proofErr w:type="gramEnd"/>
      <w:r w:rsidRPr="002075F6">
        <w:rPr>
          <w:rFonts w:ascii="Verdana" w:eastAsia="Times New Roman" w:hAnsi="Verdana" w:cs="Times New Roman"/>
          <w:color w:val="000000"/>
          <w:sz w:val="15"/>
          <w:szCs w:val="15"/>
        </w:rPr>
        <w:t xml:space="preserve"> </w:t>
      </w:r>
      <w:proofErr w:type="gramStart"/>
      <w:r w:rsidRPr="002075F6">
        <w:rPr>
          <w:rFonts w:ascii="Verdana" w:eastAsia="Times New Roman" w:hAnsi="Verdana" w:cs="Times New Roman"/>
          <w:color w:val="000000"/>
          <w:sz w:val="15"/>
          <w:szCs w:val="15"/>
        </w:rPr>
        <w:t>chúng</w:t>
      </w:r>
      <w:proofErr w:type="gramEnd"/>
      <w:r w:rsidRPr="002075F6">
        <w:rPr>
          <w:rFonts w:ascii="Verdana" w:eastAsia="Times New Roman" w:hAnsi="Verdana" w:cs="Times New Roman"/>
          <w:color w:val="000000"/>
          <w:sz w:val="15"/>
          <w:szCs w:val="15"/>
        </w:rPr>
        <w:t xml:space="preserve"> ta đều biết giao lưu là một hình thái độc lập và chuyên biệt về tính tích cực của chủ thể, biểu thị một mặt nhất định sự tồn tại và phát triển của con người . Trong giao lưu, năng lực hiểu người khác của mọi người được xây dựng, do đó năng lực hiểu bản thân mình được hình thành và năng lực tự ý thức. Đồng thời trong quá trình giao lưu, con người thỏa mãn nhu cầu về người khác, những nhu cầu về tâm hồn để làm phong phú tâm hồn, những nhu cầu về đạo đức thẩm mĩ, trí tuệ, tâm tình, đồng cảm với người khác. Những mục đích </w:t>
      </w:r>
      <w:proofErr w:type="gramStart"/>
      <w:r w:rsidRPr="002075F6">
        <w:rPr>
          <w:rFonts w:ascii="Verdana" w:eastAsia="Times New Roman" w:hAnsi="Verdana" w:cs="Times New Roman"/>
          <w:color w:val="000000"/>
          <w:sz w:val="15"/>
          <w:szCs w:val="15"/>
        </w:rPr>
        <w:t>chung</w:t>
      </w:r>
      <w:proofErr w:type="gramEnd"/>
      <w:r w:rsidRPr="002075F6">
        <w:rPr>
          <w:rFonts w:ascii="Verdana" w:eastAsia="Times New Roman" w:hAnsi="Verdana" w:cs="Times New Roman"/>
          <w:color w:val="000000"/>
          <w:sz w:val="15"/>
          <w:szCs w:val="15"/>
        </w:rPr>
        <w:t>, những húng thú chung cũng như tác phong sẽ tạo điều kiện cho những hoạt động chung tăng thêm hiệu quả</w:t>
      </w:r>
    </w:p>
    <w:p w:rsidR="002075F6" w:rsidRPr="002075F6" w:rsidRDefault="002075F6" w:rsidP="002075F6">
      <w:pPr>
        <w:spacing w:before="100" w:beforeAutospacing="1" w:after="100" w:afterAutospacing="1" w:line="240" w:lineRule="auto"/>
        <w:rPr>
          <w:rFonts w:ascii="Verdana" w:eastAsia="Times New Roman" w:hAnsi="Verdana" w:cs="Times New Roman"/>
          <w:color w:val="000000"/>
          <w:sz w:val="15"/>
          <w:szCs w:val="15"/>
        </w:rPr>
      </w:pPr>
      <w:r w:rsidRPr="002075F6">
        <w:rPr>
          <w:rFonts w:ascii="Verdana" w:eastAsia="Times New Roman" w:hAnsi="Verdana" w:cs="Times New Roman"/>
          <w:color w:val="000000"/>
          <w:sz w:val="15"/>
          <w:szCs w:val="15"/>
        </w:rPr>
        <w:t>2.Đối với các tổ chức xã hội</w:t>
      </w:r>
    </w:p>
    <w:p w:rsidR="002075F6" w:rsidRPr="002075F6" w:rsidRDefault="002075F6" w:rsidP="002075F6">
      <w:pPr>
        <w:spacing w:before="100" w:beforeAutospacing="1" w:after="100" w:afterAutospacing="1" w:line="240" w:lineRule="auto"/>
        <w:rPr>
          <w:rFonts w:ascii="Verdana" w:eastAsia="Times New Roman" w:hAnsi="Verdana" w:cs="Times New Roman"/>
          <w:color w:val="000000"/>
          <w:sz w:val="15"/>
          <w:szCs w:val="15"/>
        </w:rPr>
      </w:pPr>
      <w:proofErr w:type="gramStart"/>
      <w:r w:rsidRPr="002075F6">
        <w:rPr>
          <w:rFonts w:ascii="Verdana" w:eastAsia="Times New Roman" w:hAnsi="Verdana" w:cs="Times New Roman"/>
          <w:color w:val="000000"/>
          <w:sz w:val="15"/>
          <w:szCs w:val="15"/>
        </w:rPr>
        <w:t>Sự phối hợp này tạo nên sự cảm thông, chia sẻ cho nhau về những khó khăn và những nỗi vất vả của người giáo viên THPT trong quá trình giáo dục học sinh trước bối cảnh hội nhập và hợp tác hiện nay.</w:t>
      </w:r>
      <w:proofErr w:type="gramEnd"/>
      <w:r w:rsidRPr="002075F6">
        <w:rPr>
          <w:rFonts w:ascii="Verdana" w:eastAsia="Times New Roman" w:hAnsi="Verdana" w:cs="Times New Roman"/>
          <w:color w:val="000000"/>
          <w:sz w:val="15"/>
          <w:szCs w:val="15"/>
        </w:rPr>
        <w:t xml:space="preserve"> Khi đã thấu hiểu công việc của người giáo viên thì tùy vào đặc điểm, điều kiện và tính chất của từng tổ chúc xã hội mà quyết định sẽ phối hợp với giáo viên cái gì, phối hợp như thế nào, điều kiện để phối hợp, thời gian phối hợp. </w:t>
      </w:r>
      <w:proofErr w:type="gramStart"/>
      <w:r w:rsidRPr="002075F6">
        <w:rPr>
          <w:rFonts w:ascii="Verdana" w:eastAsia="Times New Roman" w:hAnsi="Verdana" w:cs="Times New Roman"/>
          <w:color w:val="000000"/>
          <w:sz w:val="15"/>
          <w:szCs w:val="15"/>
        </w:rPr>
        <w:t>Điều quan trọng là phải chỉ ra được trách nhiệm của tùng bên tham gia phối hợp.</w:t>
      </w:r>
      <w:proofErr w:type="gramEnd"/>
      <w:r w:rsidRPr="002075F6">
        <w:rPr>
          <w:rFonts w:ascii="Verdana" w:eastAsia="Times New Roman" w:hAnsi="Verdana" w:cs="Times New Roman"/>
          <w:color w:val="000000"/>
          <w:sz w:val="15"/>
          <w:szCs w:val="15"/>
        </w:rPr>
        <w:t xml:space="preserve"> </w:t>
      </w:r>
      <w:proofErr w:type="gramStart"/>
      <w:r w:rsidRPr="002075F6">
        <w:rPr>
          <w:rFonts w:ascii="Verdana" w:eastAsia="Times New Roman" w:hAnsi="Verdana" w:cs="Times New Roman"/>
          <w:color w:val="000000"/>
          <w:sz w:val="15"/>
          <w:szCs w:val="15"/>
        </w:rPr>
        <w:t>chỉ</w:t>
      </w:r>
      <w:proofErr w:type="gramEnd"/>
      <w:r w:rsidRPr="002075F6">
        <w:rPr>
          <w:rFonts w:ascii="Verdana" w:eastAsia="Times New Roman" w:hAnsi="Verdana" w:cs="Times New Roman"/>
          <w:color w:val="000000"/>
          <w:sz w:val="15"/>
          <w:szCs w:val="15"/>
        </w:rPr>
        <w:t xml:space="preserve"> cỏ như vậy mới tạo nên sự thống nhất và sức manh của sự phối hợp này. Phát huy được thế manh đó sẽ là động lực thúc đẩy công tác giáo dục phát triển, chẳng hạn như: tổ chúc Đoàn Thanh nìên ờ địa phương với vai trò xung kích trong mọi mặt của địa phương, trong đó có giáo dục học sinh của mình sẽ cùng với giáo viên tìm ra và tổ chức được những hoạt động nhằm thu hút thanh niên học sinh tham gia tránh rơi vào các hiện tượng xã hội không lành mạnh đang hàng ngày rình rập thế hệ trẻ, lôi kéo thế hệ trẻ vào những cám dỗ tiêu cục. </w:t>
      </w:r>
      <w:proofErr w:type="gramStart"/>
      <w:r w:rsidRPr="002075F6">
        <w:rPr>
          <w:rFonts w:ascii="Verdana" w:eastAsia="Times New Roman" w:hAnsi="Verdana" w:cs="Times New Roman"/>
          <w:color w:val="000000"/>
          <w:sz w:val="15"/>
          <w:szCs w:val="15"/>
        </w:rPr>
        <w:t>Muốn làm được điều đó không gì khác là họ phải nhận thức được vai trò quan trọng của mình đối với việc giúp đỡ thế hệ trẻ cùng với giáo viên và nhà trường.</w:t>
      </w:r>
      <w:proofErr w:type="gramEnd"/>
      <w:r w:rsidRPr="002075F6">
        <w:rPr>
          <w:rFonts w:ascii="Verdana" w:eastAsia="Times New Roman" w:hAnsi="Verdana" w:cs="Times New Roman"/>
          <w:color w:val="000000"/>
          <w:sz w:val="15"/>
          <w:szCs w:val="15"/>
        </w:rPr>
        <w:t xml:space="preserve"> Họ phải thể hiện rõ vai trò tiên phong trong việc phối hợp với giáo viên vì hơn ai hết họ là những người đầy sáng tạo và chủ động trong các hoạt động phong trào của địa phương. Họ có thể cùng giáo viên tổ chức cho học sinh các hình thức hoạt động khác nhau như: tuyên truyền cổ động, phát thanh trên đài địa phương, chăm sóc các gia đình thương binh liệt sĩ, ứng dụng khoa học công nghệ làm cho vụ mùa bội thu hay giảm thiểu tối đa những thiệt hại cho gia súc gia cầm khi có dịch bệnh lan tràn… </w:t>
      </w:r>
      <w:proofErr w:type="gramStart"/>
      <w:r w:rsidRPr="002075F6">
        <w:rPr>
          <w:rFonts w:ascii="Verdana" w:eastAsia="Times New Roman" w:hAnsi="Verdana" w:cs="Times New Roman"/>
          <w:color w:val="000000"/>
          <w:sz w:val="15"/>
          <w:szCs w:val="15"/>
        </w:rPr>
        <w:t>Hoặc tổ chúc phụ nữ của địa phuơng cũng có vai trò to lớn trong việc giáo dục học sinh tại cộng đồng dân cư.</w:t>
      </w:r>
      <w:proofErr w:type="gramEnd"/>
      <w:r w:rsidRPr="002075F6">
        <w:rPr>
          <w:rFonts w:ascii="Verdana" w:eastAsia="Times New Roman" w:hAnsi="Verdana" w:cs="Times New Roman"/>
          <w:color w:val="000000"/>
          <w:sz w:val="15"/>
          <w:szCs w:val="15"/>
        </w:rPr>
        <w:t xml:space="preserve"> cùng với giáo viên, họ tìm ra những nguyên nhân, những biểu hiện, những hoàn cánh éo le, những tình huổng thường nảy sinh trong quan hệ gia đình… để có biện pháp phối hợp nhịp nhàng và khéo léo sao cho đạt được hiệu quả cao nhất trong công tác giáo dục học sinh. Tổ chức cựu chiến binh cũng góp phần giáo dục con em của mình. Những tấm lòng nhiệt tình, những câu chuyện kể, những tấm gương sáng, những hoạt động tìm về cội nguồn… sẽ là những hoạt động giáo dục thiết thực nhất nhằm giúp cho học sinh nhận thức rõ hơn về truyền thống của dân tộc và từ đó có được những hành vi tích cực trong học tập và rèn luyện hàng ngày.</w:t>
      </w:r>
    </w:p>
    <w:p w:rsidR="002075F6" w:rsidRPr="002075F6" w:rsidRDefault="002075F6" w:rsidP="002075F6">
      <w:pPr>
        <w:spacing w:before="100" w:beforeAutospacing="1" w:after="100" w:afterAutospacing="1" w:line="240" w:lineRule="auto"/>
        <w:rPr>
          <w:rFonts w:ascii="Verdana" w:eastAsia="Times New Roman" w:hAnsi="Verdana" w:cs="Times New Roman"/>
          <w:color w:val="000000"/>
          <w:sz w:val="15"/>
          <w:szCs w:val="15"/>
        </w:rPr>
      </w:pPr>
      <w:r w:rsidRPr="002075F6">
        <w:rPr>
          <w:rFonts w:ascii="Verdana" w:eastAsia="Times New Roman" w:hAnsi="Verdana" w:cs="Times New Roman"/>
          <w:color w:val="000000"/>
          <w:sz w:val="15"/>
          <w:szCs w:val="15"/>
        </w:rPr>
        <w:t>3.Đối với nhà trường</w:t>
      </w:r>
    </w:p>
    <w:p w:rsidR="002075F6" w:rsidRPr="002075F6" w:rsidRDefault="002075F6" w:rsidP="002075F6">
      <w:pPr>
        <w:spacing w:before="100" w:beforeAutospacing="1" w:after="100" w:afterAutospacing="1" w:line="240" w:lineRule="auto"/>
        <w:rPr>
          <w:rFonts w:ascii="Verdana" w:eastAsia="Times New Roman" w:hAnsi="Verdana" w:cs="Times New Roman"/>
          <w:color w:val="000000"/>
          <w:sz w:val="15"/>
          <w:szCs w:val="15"/>
        </w:rPr>
      </w:pPr>
      <w:proofErr w:type="gramStart"/>
      <w:r w:rsidRPr="002075F6">
        <w:rPr>
          <w:rFonts w:ascii="Verdana" w:eastAsia="Times New Roman" w:hAnsi="Verdana" w:cs="Times New Roman"/>
          <w:color w:val="000000"/>
          <w:sz w:val="15"/>
          <w:szCs w:val="15"/>
        </w:rPr>
        <w:t>Nếu mỗi giáo viên đều có những kĩ năng phối hợp tốt với các tổ chức xã hội trong công tác giáo dục học sinh THPT thì sẽ tạo nên sự thống nhất cao giữa giáo dục nhà trường và giáo dục xã hội.</w:t>
      </w:r>
      <w:proofErr w:type="gramEnd"/>
      <w:r w:rsidRPr="002075F6">
        <w:rPr>
          <w:rFonts w:ascii="Verdana" w:eastAsia="Times New Roman" w:hAnsi="Verdana" w:cs="Times New Roman"/>
          <w:color w:val="000000"/>
          <w:sz w:val="15"/>
          <w:szCs w:val="15"/>
        </w:rPr>
        <w:t xml:space="preserve"> </w:t>
      </w:r>
      <w:proofErr w:type="gramStart"/>
      <w:r w:rsidRPr="002075F6">
        <w:rPr>
          <w:rFonts w:ascii="Verdana" w:eastAsia="Times New Roman" w:hAnsi="Verdana" w:cs="Times New Roman"/>
          <w:color w:val="000000"/>
          <w:sz w:val="15"/>
          <w:szCs w:val="15"/>
        </w:rPr>
        <w:t>Hai bên sẽ nhìn thấy được ở nhau những mặt tích cực trong sự hợp tác giáo dục học sinh.</w:t>
      </w:r>
      <w:proofErr w:type="gramEnd"/>
      <w:r w:rsidRPr="002075F6">
        <w:rPr>
          <w:rFonts w:ascii="Verdana" w:eastAsia="Times New Roman" w:hAnsi="Verdana" w:cs="Times New Roman"/>
          <w:color w:val="000000"/>
          <w:sz w:val="15"/>
          <w:szCs w:val="15"/>
        </w:rPr>
        <w:t xml:space="preserve"> </w:t>
      </w:r>
      <w:proofErr w:type="gramStart"/>
      <w:r w:rsidRPr="002075F6">
        <w:rPr>
          <w:rFonts w:ascii="Verdana" w:eastAsia="Times New Roman" w:hAnsi="Verdana" w:cs="Times New Roman"/>
          <w:color w:val="000000"/>
          <w:sz w:val="15"/>
          <w:szCs w:val="15"/>
        </w:rPr>
        <w:t>Nhà trường sẽ khẳng định được vị thế của mình với vai trò là người chủ đạo trong công tác giáo dục học sinh.</w:t>
      </w:r>
      <w:proofErr w:type="gramEnd"/>
      <w:r w:rsidRPr="002075F6">
        <w:rPr>
          <w:rFonts w:ascii="Verdana" w:eastAsia="Times New Roman" w:hAnsi="Verdana" w:cs="Times New Roman"/>
          <w:color w:val="000000"/>
          <w:sz w:val="15"/>
          <w:szCs w:val="15"/>
        </w:rPr>
        <w:t xml:space="preserve"> Vai trò chủ đạo phải được thể hiện ở sự đề xuất những nội dung, biện pháp giáo dục, những điều kiện để cho công tác phối hợp đạt hiệu quả cao, mang lại những lợi ích tốt nhất cho gia đình, cho hoạt động giáo dục học sinh THPT. </w:t>
      </w:r>
      <w:proofErr w:type="gramStart"/>
      <w:r w:rsidRPr="002075F6">
        <w:rPr>
          <w:rFonts w:ascii="Verdana" w:eastAsia="Times New Roman" w:hAnsi="Verdana" w:cs="Times New Roman"/>
          <w:color w:val="000000"/>
          <w:sz w:val="15"/>
          <w:szCs w:val="15"/>
        </w:rPr>
        <w:t>Nếu chủ động tích cực thì các tổ chức xã hội dù muốn hay không cũng phải thay đổi cách nhìn nhận vấn đề, cũng như trong việc tự đề xuất những nội dung và biện pháp từ phía mình sao cho có sự phù hợp nhất trong quá trình phối hợp cùng nhau.</w:t>
      </w:r>
      <w:proofErr w:type="gramEnd"/>
    </w:p>
    <w:p w:rsidR="002075F6" w:rsidRPr="002075F6" w:rsidRDefault="002075F6" w:rsidP="002075F6">
      <w:pPr>
        <w:spacing w:before="100" w:beforeAutospacing="1" w:after="100" w:afterAutospacing="1" w:line="240" w:lineRule="auto"/>
        <w:rPr>
          <w:rFonts w:ascii="Verdana" w:eastAsia="Times New Roman" w:hAnsi="Verdana" w:cs="Times New Roman"/>
          <w:color w:val="000000"/>
          <w:sz w:val="15"/>
          <w:szCs w:val="15"/>
        </w:rPr>
      </w:pPr>
      <w:r w:rsidRPr="002075F6">
        <w:rPr>
          <w:rFonts w:ascii="Verdana" w:eastAsia="Times New Roman" w:hAnsi="Verdana" w:cs="Times New Roman"/>
          <w:color w:val="000000"/>
          <w:sz w:val="15"/>
          <w:szCs w:val="15"/>
        </w:rPr>
        <w:t>4.Đối với học sinh</w:t>
      </w:r>
    </w:p>
    <w:p w:rsidR="002075F6" w:rsidRPr="002075F6" w:rsidRDefault="002075F6" w:rsidP="002075F6">
      <w:pPr>
        <w:spacing w:before="100" w:beforeAutospacing="1" w:after="100" w:afterAutospacing="1" w:line="240" w:lineRule="auto"/>
        <w:rPr>
          <w:rFonts w:ascii="Verdana" w:eastAsia="Times New Roman" w:hAnsi="Verdana" w:cs="Times New Roman"/>
          <w:color w:val="000000"/>
          <w:sz w:val="15"/>
          <w:szCs w:val="15"/>
        </w:rPr>
      </w:pPr>
      <w:proofErr w:type="gramStart"/>
      <w:r w:rsidRPr="002075F6">
        <w:rPr>
          <w:rFonts w:ascii="Verdana" w:eastAsia="Times New Roman" w:hAnsi="Verdana" w:cs="Times New Roman"/>
          <w:color w:val="000000"/>
          <w:sz w:val="15"/>
          <w:szCs w:val="15"/>
        </w:rPr>
        <w:t>Các em sẽ nhận được sự giúp đỡ và chỉ bảo của nhiều tổ chức xã hội.</w:t>
      </w:r>
      <w:proofErr w:type="gramEnd"/>
      <w:r w:rsidRPr="002075F6">
        <w:rPr>
          <w:rFonts w:ascii="Verdana" w:eastAsia="Times New Roman" w:hAnsi="Verdana" w:cs="Times New Roman"/>
          <w:color w:val="000000"/>
          <w:sz w:val="15"/>
          <w:szCs w:val="15"/>
        </w:rPr>
        <w:t xml:space="preserve"> Điều đó sẽ giúp các em có thêm những hiểu biết về các tổ chức xã hội hiện đang có ở địa phương mình, giúp các em mở rộng kiến thức xã hội, tăng thêm lòng yêu quê hương đất nước. </w:t>
      </w:r>
      <w:proofErr w:type="gramStart"/>
      <w:r w:rsidRPr="002075F6">
        <w:rPr>
          <w:rFonts w:ascii="Verdana" w:eastAsia="Times New Roman" w:hAnsi="Verdana" w:cs="Times New Roman"/>
          <w:color w:val="000000"/>
          <w:sz w:val="15"/>
          <w:szCs w:val="15"/>
        </w:rPr>
        <w:t>Đồng thời tạo thêm niềm tin ở học sinh đối với các tổ chức xã hội.</w:t>
      </w:r>
      <w:proofErr w:type="gramEnd"/>
      <w:r w:rsidRPr="002075F6">
        <w:rPr>
          <w:rFonts w:ascii="Verdana" w:eastAsia="Times New Roman" w:hAnsi="Verdana" w:cs="Times New Roman"/>
          <w:color w:val="000000"/>
          <w:sz w:val="15"/>
          <w:szCs w:val="15"/>
        </w:rPr>
        <w:t xml:space="preserve"> </w:t>
      </w:r>
      <w:proofErr w:type="gramStart"/>
      <w:r w:rsidRPr="002075F6">
        <w:rPr>
          <w:rFonts w:ascii="Verdana" w:eastAsia="Times New Roman" w:hAnsi="Verdana" w:cs="Times New Roman"/>
          <w:color w:val="000000"/>
          <w:sz w:val="15"/>
          <w:szCs w:val="15"/>
        </w:rPr>
        <w:t>Điều quan trọng là sự phối hợp này sẽ tạo cho học sinh có cơ hội để trải nghiệm trong đời sống hằng ngày, tăng cường mối quan hệ giao tiếp với các tổ chức xã hội.</w:t>
      </w:r>
      <w:proofErr w:type="gramEnd"/>
      <w:r w:rsidRPr="002075F6">
        <w:rPr>
          <w:rFonts w:ascii="Verdana" w:eastAsia="Times New Roman" w:hAnsi="Verdana" w:cs="Times New Roman"/>
          <w:color w:val="000000"/>
          <w:sz w:val="15"/>
          <w:szCs w:val="15"/>
        </w:rPr>
        <w:t xml:space="preserve"> Điều đó sẽ giúp học sinh gần </w:t>
      </w:r>
      <w:proofErr w:type="gramStart"/>
      <w:r w:rsidRPr="002075F6">
        <w:rPr>
          <w:rFonts w:ascii="Verdana" w:eastAsia="Times New Roman" w:hAnsi="Verdana" w:cs="Times New Roman"/>
          <w:color w:val="000000"/>
          <w:sz w:val="15"/>
          <w:szCs w:val="15"/>
        </w:rPr>
        <w:t>gũi</w:t>
      </w:r>
      <w:proofErr w:type="gramEnd"/>
      <w:r w:rsidRPr="002075F6">
        <w:rPr>
          <w:rFonts w:ascii="Verdana" w:eastAsia="Times New Roman" w:hAnsi="Verdana" w:cs="Times New Roman"/>
          <w:color w:val="000000"/>
          <w:sz w:val="15"/>
          <w:szCs w:val="15"/>
        </w:rPr>
        <w:t xml:space="preserve"> hơn, hiểu biết hơn các tổ chức xã hội để có thể chia sẻ với họ, đồng thời có thể đề đạt nguyện vọng của mình với các tổ chức xã hội.</w:t>
      </w:r>
    </w:p>
    <w:p w:rsidR="002075F6" w:rsidRPr="002075F6" w:rsidRDefault="002075F6" w:rsidP="002075F6">
      <w:pPr>
        <w:spacing w:before="100" w:beforeAutospacing="1" w:after="100" w:afterAutospacing="1" w:line="240" w:lineRule="auto"/>
        <w:rPr>
          <w:rFonts w:ascii="Verdana" w:eastAsia="Times New Roman" w:hAnsi="Verdana" w:cs="Times New Roman"/>
          <w:color w:val="000000"/>
          <w:sz w:val="15"/>
          <w:szCs w:val="15"/>
        </w:rPr>
      </w:pPr>
      <w:r w:rsidRPr="002075F6">
        <w:rPr>
          <w:rFonts w:ascii="Verdana" w:eastAsia="Times New Roman" w:hAnsi="Verdana" w:cs="Times New Roman"/>
          <w:b/>
          <w:bCs/>
          <w:color w:val="000000"/>
          <w:sz w:val="15"/>
          <w:szCs w:val="15"/>
        </w:rPr>
        <w:t>Nội dung 2: Biện pháp phối hợp giữa </w:t>
      </w:r>
      <w:r w:rsidRPr="002075F6">
        <w:rPr>
          <w:rFonts w:ascii="Verdana" w:eastAsia="Times New Roman" w:hAnsi="Verdana" w:cs="Times New Roman"/>
          <w:color w:val="000000"/>
          <w:sz w:val="15"/>
          <w:szCs w:val="15"/>
        </w:rPr>
        <w:t>các tổ chức xã hội trong công tác giáo dục ở trường Trung học cơ sở</w:t>
      </w:r>
    </w:p>
    <w:p w:rsidR="002075F6" w:rsidRPr="002075F6" w:rsidRDefault="002075F6" w:rsidP="002075F6">
      <w:pPr>
        <w:spacing w:before="100" w:beforeAutospacing="1" w:after="100" w:afterAutospacing="1" w:line="240" w:lineRule="auto"/>
        <w:rPr>
          <w:rFonts w:ascii="Verdana" w:eastAsia="Times New Roman" w:hAnsi="Verdana" w:cs="Times New Roman"/>
          <w:color w:val="000000"/>
          <w:sz w:val="15"/>
          <w:szCs w:val="15"/>
        </w:rPr>
      </w:pPr>
      <w:r w:rsidRPr="002075F6">
        <w:rPr>
          <w:rFonts w:ascii="Verdana" w:eastAsia="Times New Roman" w:hAnsi="Verdana" w:cs="Times New Roman"/>
          <w:color w:val="000000"/>
          <w:sz w:val="15"/>
          <w:szCs w:val="15"/>
        </w:rPr>
        <w:t> Hoạt động 1: Hệ thống hoá một số biện pháp phối hợp với các tổ chức xã hội trong công tác giáo dục học sinh THPT.</w:t>
      </w:r>
    </w:p>
    <w:p w:rsidR="002075F6" w:rsidRPr="002075F6" w:rsidRDefault="002075F6" w:rsidP="002075F6">
      <w:pPr>
        <w:spacing w:before="100" w:beforeAutospacing="1" w:after="100" w:afterAutospacing="1" w:line="240" w:lineRule="auto"/>
        <w:rPr>
          <w:rFonts w:ascii="Verdana" w:eastAsia="Times New Roman" w:hAnsi="Verdana" w:cs="Times New Roman"/>
          <w:color w:val="000000"/>
          <w:sz w:val="15"/>
          <w:szCs w:val="15"/>
        </w:rPr>
      </w:pPr>
      <w:r w:rsidRPr="002075F6">
        <w:rPr>
          <w:rFonts w:ascii="Verdana" w:eastAsia="Times New Roman" w:hAnsi="Verdana" w:cs="Times New Roman"/>
          <w:color w:val="000000"/>
          <w:sz w:val="15"/>
          <w:szCs w:val="15"/>
        </w:rPr>
        <w:t xml:space="preserve"> Các biện pháp phối hợp với các tổ chức xã hội có thể </w:t>
      </w:r>
      <w:proofErr w:type="gramStart"/>
      <w:r w:rsidRPr="002075F6">
        <w:rPr>
          <w:rFonts w:ascii="Verdana" w:eastAsia="Times New Roman" w:hAnsi="Verdana" w:cs="Times New Roman"/>
          <w:color w:val="000000"/>
          <w:sz w:val="15"/>
          <w:szCs w:val="15"/>
        </w:rPr>
        <w:t>theo</w:t>
      </w:r>
      <w:proofErr w:type="gramEnd"/>
      <w:r w:rsidRPr="002075F6">
        <w:rPr>
          <w:rFonts w:ascii="Verdana" w:eastAsia="Times New Roman" w:hAnsi="Verdana" w:cs="Times New Roman"/>
          <w:color w:val="000000"/>
          <w:sz w:val="15"/>
          <w:szCs w:val="15"/>
        </w:rPr>
        <w:t xml:space="preserve"> những gợi ý dưới đây:</w:t>
      </w:r>
    </w:p>
    <w:p w:rsidR="002075F6" w:rsidRPr="002075F6" w:rsidRDefault="002075F6" w:rsidP="002075F6">
      <w:pPr>
        <w:spacing w:before="100" w:beforeAutospacing="1" w:after="100" w:afterAutospacing="1" w:line="240" w:lineRule="auto"/>
        <w:rPr>
          <w:rFonts w:ascii="Verdana" w:eastAsia="Times New Roman" w:hAnsi="Verdana" w:cs="Times New Roman"/>
          <w:color w:val="000000"/>
          <w:sz w:val="15"/>
          <w:szCs w:val="15"/>
        </w:rPr>
      </w:pPr>
      <w:r w:rsidRPr="002075F6">
        <w:rPr>
          <w:rFonts w:ascii="Verdana" w:eastAsia="Times New Roman" w:hAnsi="Verdana" w:cs="Times New Roman"/>
          <w:color w:val="000000"/>
          <w:sz w:val="15"/>
          <w:szCs w:val="15"/>
        </w:rPr>
        <w:t>– Nâng cao nhận thức cho giáo viên về sự cần thiết phải có sự phối hợp với các tổ chức xã hội.</w:t>
      </w:r>
    </w:p>
    <w:p w:rsidR="002075F6" w:rsidRPr="002075F6" w:rsidRDefault="002075F6" w:rsidP="002075F6">
      <w:pPr>
        <w:spacing w:before="100" w:beforeAutospacing="1" w:after="100" w:afterAutospacing="1" w:line="240" w:lineRule="auto"/>
        <w:rPr>
          <w:rFonts w:ascii="Verdana" w:eastAsia="Times New Roman" w:hAnsi="Verdana" w:cs="Times New Roman"/>
          <w:color w:val="000000"/>
          <w:sz w:val="15"/>
          <w:szCs w:val="15"/>
        </w:rPr>
      </w:pPr>
      <w:r w:rsidRPr="002075F6">
        <w:rPr>
          <w:rFonts w:ascii="Verdana" w:eastAsia="Times New Roman" w:hAnsi="Verdana" w:cs="Times New Roman"/>
          <w:color w:val="000000"/>
          <w:sz w:val="15"/>
          <w:szCs w:val="15"/>
        </w:rPr>
        <w:t>– Xây dựng nội dung phối hợp cụ thể, phù hợp với yêu cầu và điều kiện cho phép của mọi bên tham gia.</w:t>
      </w:r>
    </w:p>
    <w:p w:rsidR="002075F6" w:rsidRPr="002075F6" w:rsidRDefault="002075F6" w:rsidP="002075F6">
      <w:pPr>
        <w:spacing w:before="100" w:beforeAutospacing="1" w:after="100" w:afterAutospacing="1" w:line="240" w:lineRule="auto"/>
        <w:rPr>
          <w:rFonts w:ascii="Verdana" w:eastAsia="Times New Roman" w:hAnsi="Verdana" w:cs="Times New Roman"/>
          <w:color w:val="000000"/>
          <w:sz w:val="15"/>
          <w:szCs w:val="15"/>
        </w:rPr>
      </w:pPr>
      <w:r w:rsidRPr="002075F6">
        <w:rPr>
          <w:rFonts w:ascii="Verdana" w:eastAsia="Times New Roman" w:hAnsi="Verdana" w:cs="Times New Roman"/>
          <w:color w:val="000000"/>
          <w:sz w:val="15"/>
          <w:szCs w:val="15"/>
        </w:rPr>
        <w:lastRenderedPageBreak/>
        <w:t>– Tổ chức các hoạt động phối hợp cùng nhau để thực hiện các nội dung phối hợp đã xây dựng.</w:t>
      </w:r>
    </w:p>
    <w:p w:rsidR="002075F6" w:rsidRPr="002075F6" w:rsidRDefault="002075F6" w:rsidP="002075F6">
      <w:pPr>
        <w:spacing w:before="100" w:beforeAutospacing="1" w:after="100" w:afterAutospacing="1" w:line="240" w:lineRule="auto"/>
        <w:rPr>
          <w:rFonts w:ascii="Verdana" w:eastAsia="Times New Roman" w:hAnsi="Verdana" w:cs="Times New Roman"/>
          <w:color w:val="000000"/>
          <w:sz w:val="15"/>
          <w:szCs w:val="15"/>
        </w:rPr>
      </w:pPr>
      <w:r w:rsidRPr="002075F6">
        <w:rPr>
          <w:rFonts w:ascii="Verdana" w:eastAsia="Times New Roman" w:hAnsi="Verdana" w:cs="Times New Roman"/>
          <w:color w:val="000000"/>
          <w:sz w:val="15"/>
          <w:szCs w:val="15"/>
        </w:rPr>
        <w:t>– Tổ chức giám sát, đánh giá kết quả sự phối hợp, từ đó rút ra những bài học kinh nghiệm cho cả hai phía</w:t>
      </w:r>
    </w:p>
    <w:p w:rsidR="002075F6" w:rsidRPr="002075F6" w:rsidRDefault="002075F6" w:rsidP="002075F6">
      <w:pPr>
        <w:spacing w:before="100" w:beforeAutospacing="1" w:after="100" w:afterAutospacing="1" w:line="240" w:lineRule="auto"/>
        <w:rPr>
          <w:rFonts w:ascii="Verdana" w:eastAsia="Times New Roman" w:hAnsi="Verdana" w:cs="Times New Roman"/>
          <w:color w:val="000000"/>
          <w:sz w:val="15"/>
          <w:szCs w:val="15"/>
        </w:rPr>
      </w:pPr>
      <w:r w:rsidRPr="002075F6">
        <w:rPr>
          <w:rFonts w:ascii="Verdana" w:eastAsia="Times New Roman" w:hAnsi="Verdana" w:cs="Times New Roman"/>
          <w:b/>
          <w:bCs/>
          <w:color w:val="000000"/>
          <w:sz w:val="15"/>
          <w:szCs w:val="15"/>
        </w:rPr>
        <w:t>Hoạt động 2: Hoàn thiện hệ thống các biện pháp</w:t>
      </w:r>
    </w:p>
    <w:p w:rsidR="002075F6" w:rsidRPr="002075F6" w:rsidRDefault="002075F6" w:rsidP="002075F6">
      <w:pPr>
        <w:spacing w:before="100" w:beforeAutospacing="1" w:after="100" w:afterAutospacing="1" w:line="240" w:lineRule="auto"/>
        <w:rPr>
          <w:rFonts w:ascii="Verdana" w:eastAsia="Times New Roman" w:hAnsi="Verdana" w:cs="Times New Roman"/>
          <w:color w:val="000000"/>
          <w:sz w:val="15"/>
          <w:szCs w:val="15"/>
        </w:rPr>
      </w:pPr>
      <w:r w:rsidRPr="002075F6">
        <w:rPr>
          <w:rFonts w:ascii="Verdana" w:eastAsia="Times New Roman" w:hAnsi="Verdana" w:cs="Times New Roman"/>
          <w:color w:val="000000"/>
          <w:sz w:val="15"/>
          <w:szCs w:val="15"/>
        </w:rPr>
        <w:t>– Hoạt động này diễn ra trong thời gian nhất định, có thể coi đây là một bài kiểm tra ngấn để học viênn tự mình hoàn thiện thêm hệ thống biện pháp phối hợp sau khi đã có sự trao đổi với đồng nghiệp và với chuyên gia (nếu có thể).</w:t>
      </w:r>
    </w:p>
    <w:p w:rsidR="002075F6" w:rsidRPr="002075F6" w:rsidRDefault="002075F6" w:rsidP="002075F6">
      <w:pPr>
        <w:spacing w:before="100" w:beforeAutospacing="1" w:after="100" w:afterAutospacing="1" w:line="240" w:lineRule="auto"/>
        <w:rPr>
          <w:rFonts w:ascii="Verdana" w:eastAsia="Times New Roman" w:hAnsi="Verdana" w:cs="Times New Roman"/>
          <w:color w:val="000000"/>
          <w:sz w:val="15"/>
          <w:szCs w:val="15"/>
        </w:rPr>
      </w:pPr>
      <w:r w:rsidRPr="002075F6">
        <w:rPr>
          <w:rFonts w:ascii="Verdana" w:eastAsia="Times New Roman" w:hAnsi="Verdana" w:cs="Times New Roman"/>
          <w:color w:val="000000"/>
          <w:sz w:val="15"/>
          <w:szCs w:val="15"/>
        </w:rPr>
        <w:t xml:space="preserve">– Chi tiết hơn về cách tiến hành biện pháp </w:t>
      </w:r>
      <w:proofErr w:type="gramStart"/>
      <w:r w:rsidRPr="002075F6">
        <w:rPr>
          <w:rFonts w:ascii="Verdana" w:eastAsia="Times New Roman" w:hAnsi="Verdana" w:cs="Times New Roman"/>
          <w:color w:val="000000"/>
          <w:sz w:val="15"/>
          <w:szCs w:val="15"/>
        </w:rPr>
        <w:t>theo</w:t>
      </w:r>
      <w:proofErr w:type="gramEnd"/>
      <w:r w:rsidRPr="002075F6">
        <w:rPr>
          <w:rFonts w:ascii="Verdana" w:eastAsia="Times New Roman" w:hAnsi="Verdana" w:cs="Times New Roman"/>
          <w:color w:val="000000"/>
          <w:sz w:val="15"/>
          <w:szCs w:val="15"/>
        </w:rPr>
        <w:t xml:space="preserve"> hướng sau đây: các hoạt động sẽ được diễn ra, mô tả cụ thể, chú ý tới hoạt động của người thực hiện và</w:t>
      </w:r>
    </w:p>
    <w:p w:rsidR="002075F6" w:rsidRPr="002075F6" w:rsidRDefault="002075F6" w:rsidP="002075F6">
      <w:pPr>
        <w:spacing w:before="100" w:beforeAutospacing="1" w:after="100" w:afterAutospacing="1" w:line="240" w:lineRule="auto"/>
        <w:rPr>
          <w:rFonts w:ascii="Verdana" w:eastAsia="Times New Roman" w:hAnsi="Verdana" w:cs="Times New Roman"/>
          <w:color w:val="000000"/>
          <w:sz w:val="15"/>
          <w:szCs w:val="15"/>
        </w:rPr>
      </w:pPr>
      <w:r w:rsidRPr="002075F6">
        <w:rPr>
          <w:rFonts w:ascii="Verdana" w:eastAsia="Times New Roman" w:hAnsi="Verdana" w:cs="Times New Roman"/>
          <w:color w:val="000000"/>
          <w:sz w:val="15"/>
          <w:szCs w:val="15"/>
        </w:rPr>
        <w:t>Điểm tự xếp</w:t>
      </w:r>
      <w:proofErr w:type="gramStart"/>
      <w:r w:rsidRPr="002075F6">
        <w:rPr>
          <w:rFonts w:ascii="Verdana" w:eastAsia="Times New Roman" w:hAnsi="Verdana" w:cs="Times New Roman"/>
          <w:color w:val="000000"/>
          <w:sz w:val="15"/>
          <w:szCs w:val="15"/>
        </w:rPr>
        <w:t>:....................</w:t>
      </w:r>
      <w:proofErr w:type="gramEnd"/>
    </w:p>
    <w:p w:rsidR="002075F6" w:rsidRPr="002075F6" w:rsidRDefault="002075F6" w:rsidP="002075F6">
      <w:pPr>
        <w:spacing w:before="100" w:beforeAutospacing="1" w:after="100" w:afterAutospacing="1" w:line="240" w:lineRule="auto"/>
        <w:rPr>
          <w:rFonts w:ascii="Verdana" w:eastAsia="Times New Roman" w:hAnsi="Verdana" w:cs="Times New Roman"/>
          <w:color w:val="000000"/>
          <w:sz w:val="15"/>
          <w:szCs w:val="15"/>
        </w:rPr>
      </w:pPr>
      <w:r w:rsidRPr="002075F6">
        <w:rPr>
          <w:rFonts w:ascii="Verdana" w:eastAsia="Times New Roman" w:hAnsi="Verdana" w:cs="Times New Roman"/>
          <w:color w:val="000000"/>
          <w:sz w:val="15"/>
          <w:szCs w:val="15"/>
        </w:rPr>
        <w:t>Điểm tổ xếp</w:t>
      </w:r>
      <w:proofErr w:type="gramStart"/>
      <w:r w:rsidRPr="002075F6">
        <w:rPr>
          <w:rFonts w:ascii="Verdana" w:eastAsia="Times New Roman" w:hAnsi="Verdana" w:cs="Times New Roman"/>
          <w:color w:val="000000"/>
          <w:sz w:val="15"/>
          <w:szCs w:val="15"/>
        </w:rPr>
        <w:t>:....................</w:t>
      </w:r>
      <w:proofErr w:type="gramEnd"/>
      <w:r w:rsidRPr="002075F6">
        <w:rPr>
          <w:rFonts w:ascii="Verdana" w:eastAsia="Times New Roman" w:hAnsi="Verdana" w:cs="Times New Roman"/>
          <w:color w:val="000000"/>
          <w:sz w:val="15"/>
          <w:szCs w:val="15"/>
        </w:rPr>
        <w:t>                                       </w:t>
      </w:r>
    </w:p>
    <w:p w:rsidR="00281670" w:rsidRDefault="00281670">
      <w:bookmarkStart w:id="0" w:name="_GoBack"/>
      <w:bookmarkEnd w:id="0"/>
    </w:p>
    <w:sectPr w:rsidR="002816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5F6"/>
    <w:rsid w:val="002075F6"/>
    <w:rsid w:val="00281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75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75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75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75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99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1200</Words>
  <Characters>6840</Characters>
  <Application>Microsoft Office Word</Application>
  <DocSecurity>0</DocSecurity>
  <Lines>57</Lines>
  <Paragraphs>16</Paragraphs>
  <ScaleCrop>false</ScaleCrop>
  <Company/>
  <LinksUpToDate>false</LinksUpToDate>
  <CharactersWithSpaces>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Hitec</dc:creator>
  <cp:lastModifiedBy>Hitec</cp:lastModifiedBy>
  <cp:revision>1</cp:revision>
  <dcterms:created xsi:type="dcterms:W3CDTF">2019-03-16T07:20:00Z</dcterms:created>
  <dcterms:modified xsi:type="dcterms:W3CDTF">2019-03-16T07:20:00Z</dcterms:modified>
</cp:coreProperties>
</file>